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CCBC" w14:textId="77777777" w:rsidR="00F421B1" w:rsidRPr="0084727B" w:rsidRDefault="00F421B1" w:rsidP="00F421B1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7</w:t>
      </w:r>
    </w:p>
    <w:p w14:paraId="089E4D73" w14:textId="5BB9CA1D" w:rsidR="00F421B1" w:rsidRPr="0084727B" w:rsidRDefault="00F421B1" w:rsidP="00F421B1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E438F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  <w:r w:rsidR="00032816">
        <w:rPr>
          <w:rFonts w:cstheme="minorHAnsi"/>
        </w:rPr>
        <w:t xml:space="preserve"> Beata Zagórowska</w:t>
      </w:r>
    </w:p>
    <w:bookmarkEnd w:id="0"/>
    <w:p w14:paraId="3C0DDFB6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750B65F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2606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BD60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D5D4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14:paraId="0D240A93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53BD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452F" w14:textId="77777777"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1FE0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B619B54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E63D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53DDB4C2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6751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8C47D66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14:paraId="23DB2800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4234D" w14:textId="77777777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14:paraId="46F54310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587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F6F2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14:paraId="544E655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14:paraId="5E92F374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14:paraId="4692871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14:paraId="7E55C1B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14:paraId="3AF672E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1DA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14:paraId="02127FE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EB3C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1C6A0B42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2B3E9EC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C5DC37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3BD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A3925F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533315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7F9712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0A76" w14:textId="77777777"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14:paraId="6CD91F51" w14:textId="77777777"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93471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14:paraId="0D1AD6C2" w14:textId="77777777"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9A0E" w14:textId="77777777"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14:paraId="73FBF329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14:paraId="23AC5133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4B3DB2F" w14:textId="77777777"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14:paraId="22EC62C2" w14:textId="77777777"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74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BA898A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14:paraId="4DF490BD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A616F3D" w14:textId="77777777"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14:paraId="06DC9C0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96B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363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14:paraId="3DCD8AE3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14:paraId="1155F53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14:paraId="29AD1526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14:paraId="7011284C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14:paraId="5D43CF1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14:paraId="0D6D6DC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14:paraId="3A18D71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590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14:paraId="10064D3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B6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6129467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1D3FFE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D0DC5A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34650F2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49C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14:paraId="2D32EFE7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62A2DC3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B2A583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658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8F1031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0F9106" w14:textId="77777777"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14:paraId="6D3B519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7B619D3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72D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5869A7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7E169BA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A1E6DF" w14:textId="77777777"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14:paraId="47230534" w14:textId="77777777"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7009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155E26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14:paraId="6A57E94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D0E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9932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14:paraId="79F1D42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teoretycy nowych ideologii </w:t>
            </w:r>
          </w:p>
          <w:p w14:paraId="4D63BBF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14:paraId="062F0C1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14:paraId="55F0610B" w14:textId="77777777"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14:paraId="01C7B8CB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Adam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Smith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, Edmund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Burke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F665" w14:textId="77777777"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ruchów politycznych</w:t>
            </w:r>
          </w:p>
          <w:p w14:paraId="00E178C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lastRenderedPageBreak/>
              <w:t>(socjalizm, ruch 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47D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4A49DC8" w14:textId="77777777"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A12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14:paraId="44CBCB44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14:paraId="5941CAAA" w14:textId="77777777"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C08C93A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Adama </w:t>
            </w:r>
            <w:proofErr w:type="spellStart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Smitha</w:t>
            </w:r>
            <w:proofErr w:type="spellEnd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81C9E60" w14:textId="77777777"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14:paraId="4CF4765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4B6" w14:textId="77777777"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4BD8A49" w14:textId="77777777"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14:paraId="066EE924" w14:textId="77777777"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BCA7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14:paraId="663C43CF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14:paraId="310240A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E781CF1" w14:textId="77777777"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14:paraId="20FB193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969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pierwszej połowie 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14:paraId="11A7052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9C70FA" w14:textId="77777777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14:paraId="668E57E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9D4E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A802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14:paraId="64221311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14:paraId="0A4251D0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społeczno-gospodarcza Polaków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zaborach pruskim, austriackim i w Królestwie Polskim</w:t>
            </w:r>
          </w:p>
          <w:p w14:paraId="2D495BD9" w14:textId="77777777"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reformy Franciszka Ksawerego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Druckiego-Lubeckiego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Królestwie Polskim</w:t>
            </w:r>
          </w:p>
          <w:p w14:paraId="72557204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14:paraId="5303E9A8" w14:textId="77777777"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14:paraId="5827A294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EBB9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0323D787" w14:textId="77777777"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w zaborach pruskim i austriackim, na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obszarze ziem 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5D1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2C560701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B57850E" w14:textId="77777777"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wiedeńskiego w sprawie ziem polskich.</w:t>
            </w:r>
          </w:p>
          <w:p w14:paraId="6798662A" w14:textId="77777777"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51AB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10DE2FD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14:paraId="4CC9E3E5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83895D0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konstytucji Królestwa Polskiego;</w:t>
            </w:r>
          </w:p>
          <w:p w14:paraId="2DD853A9" w14:textId="77777777"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14:paraId="5F0E410D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14:paraId="40E27494" w14:textId="77777777"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A9F17F9" w14:textId="77777777"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8CDD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14:paraId="2393D939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14:paraId="7A011880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1715DA91" w14:textId="77777777"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14:paraId="3C6EAE17" w14:textId="77777777"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D1971C8" w14:textId="77777777"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14:paraId="542F0628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1A27" w14:textId="77777777"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A541A0C" w14:textId="77777777"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najważniejsze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okręgi przemysłowe w Królestwie Polskim;</w:t>
            </w:r>
          </w:p>
          <w:p w14:paraId="5777E399" w14:textId="77777777"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48FD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4F3D4AC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14:paraId="29329E42" w14:textId="77777777"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14:paraId="15EE004D" w14:textId="77777777"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14:paraId="13BD4743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CEE8CB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C5B693" w14:textId="77777777"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14:paraId="0CF9DE93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14:paraId="68DC7794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14:paraId="6CE46239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14:paraId="10990F68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14:paraId="5AF0D56E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14:paraId="6438D631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14:paraId="737E11F4" w14:textId="77777777"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14:paraId="4683BD05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73A90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158E86AC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13E97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14:paraId="515AF2FB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14:paraId="29287601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14:paraId="1043D0A5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14:paraId="14A7F9F9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D897F" w14:textId="77777777"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D007DEA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46EB5D5D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4E698D3B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BDF1C" w14:textId="77777777"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8B045F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14:paraId="45338A20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6546D0C1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14:paraId="68C361DD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14:paraId="2A8E4EC0" w14:textId="77777777"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poczynania władz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FF212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1A6599B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5C86A91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14:paraId="24AD4605" w14:textId="77777777"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14:paraId="266405B6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14:paraId="663BCD10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6D6A0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14:paraId="15D47C9D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14:paraId="27BF0085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9FF8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C3A4" w14:textId="77777777"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14:paraId="7AEA162F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14:paraId="0161FE57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14:paraId="27670D6C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14:paraId="377ABC7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14:paraId="7A9C99C6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14:paraId="64C42B2D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4D11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63CE5858" w14:textId="77777777"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E2019A2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0844ABF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54A1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89F9D20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E5B9909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B0AC1E3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6BD1694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1EE" w14:textId="77777777"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14:paraId="370F0351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5FF1DEE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72C15B1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14:paraId="31490629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2B15" w14:textId="77777777"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847BCD0" w14:textId="77777777"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E3" w14:textId="77777777"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14:paraId="0EFC16D1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F610" w14:textId="77777777"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14:paraId="4B03AF1C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761A334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14:paraId="35EF2460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C71B" w14:textId="77777777"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3A04" w14:textId="77777777"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14:paraId="6B1071CF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14:paraId="70EB018A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14:paraId="02A70858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14:paraId="5CF7B929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14:paraId="268745A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14:paraId="2E879D10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14:paraId="23A14BA7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FB2A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6EA0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2A7A70C" w14:textId="77777777"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4C056AB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51C9B9C2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26EF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F2A8866" w14:textId="77777777"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14:paraId="7DBF8845" w14:textId="77777777"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37DBA964" w14:textId="77777777"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14:paraId="00FE3195" w14:textId="77777777"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C2D9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14:paraId="27FFCEA2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BA6ECFD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14:paraId="6DDE76B8" w14:textId="77777777"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14:paraId="0A7D5A02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C2D7" w14:textId="77777777"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14:paraId="4D2969DA" w14:textId="77777777"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48CEAF6E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E3A1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14:paraId="21257B12" w14:textId="77777777"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14:paraId="416ECC9A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53519D" w14:textId="77777777"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III: Europa i świat po Wiośnie Ludów</w:t>
            </w:r>
          </w:p>
        </w:tc>
      </w:tr>
      <w:tr w:rsidR="0076497A" w:rsidRPr="000C67C6" w14:paraId="7E079A5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FE3F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899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14:paraId="25BCED8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14:paraId="5BF1354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14:paraId="4F969BF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14:paraId="5FEA607E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14:paraId="3D84B517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14:paraId="2723FBBD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14:paraId="2A7D46F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729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7BF18E54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D8A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855FF3E" w14:textId="77777777"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14:paraId="762DCDF4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430113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46B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8BB1A01" w14:textId="77777777"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14:paraId="7CE158E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C1B7246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FBCCA8" w14:textId="77777777"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3228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97BFC6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14:paraId="348DD288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D27536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7E76F3D" w14:textId="77777777"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dzieli skutki wojny secesyjnej na: społeczne,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29BC" w14:textId="77777777"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12850271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BB672B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A65A" w14:textId="77777777"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14:paraId="42A42D2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FF09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A076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14:paraId="0D449E72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14:paraId="1C7F2B25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14:paraId="55A6F8F7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14:paraId="01AA035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14:paraId="724F9BEA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14:paraId="731D426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14:paraId="4488C860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14:paraId="4E7BE0D1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14:paraId="016C98E2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B93E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149C60A2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F560" w14:textId="77777777"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14:paraId="3A594B8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B24F5C" w14:textId="77777777"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14:paraId="699B3870" w14:textId="77777777"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14:paraId="02D10D7D" w14:textId="77777777"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14:paraId="28FF1DFF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9235" w14:textId="77777777"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BABF28A" w14:textId="77777777"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E847891" w14:textId="77777777"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B1223BF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1F244C2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16448F4F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274" w14:textId="77777777"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511544A" w14:textId="77777777"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14:paraId="64DB8727" w14:textId="77777777"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14:paraId="54DCCF1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3600883B" w14:textId="77777777"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D771D18" w14:textId="77777777"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FD81" w14:textId="77777777"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7412B42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 xml:space="preserve">Henriego </w:t>
            </w:r>
            <w:proofErr w:type="spellStart"/>
            <w:r w:rsidR="009428AA">
              <w:rPr>
                <w:rFonts w:cs="Humanst521EU-Normal"/>
                <w:sz w:val="20"/>
                <w:szCs w:val="20"/>
              </w:rPr>
              <w:t>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A25644F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778602A9" w14:textId="77777777"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14:paraId="6B21170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A808" w14:textId="77777777"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14:paraId="6ABADEA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CAF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9210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14:paraId="02786754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14:paraId="6020AA3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14:paraId="602E5892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14:paraId="6D08B50C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14:paraId="02168FA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14:paraId="36921B70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14:paraId="1E3377C0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C5FC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14:paraId="2209281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E88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20B50C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7272A80" w14:textId="77777777"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14:paraId="34965787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06A8A698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D2D0" w14:textId="77777777"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14:paraId="53A334E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14:paraId="373061DF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14:paraId="5627827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8D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B90C22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B75967B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14:paraId="291AC2A1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14:paraId="02A95B15" w14:textId="77777777"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617D7C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81AD" w14:textId="77777777"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14:paraId="4024A3E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14:paraId="58B10838" w14:textId="77777777"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3FBC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6C974F26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477F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87A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14:paraId="701444E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14:paraId="54A3F19D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14:paraId="3078E79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14:paraId="295906E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14:paraId="576AF2EF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14:paraId="3CF68FF1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14:paraId="59FCF793" w14:textId="77777777"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społeczeństwo industrialne, anarchizm, nacjonalizm, syjonizm,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emancypacja, sufrażystki</w:t>
            </w:r>
          </w:p>
          <w:p w14:paraId="58B2B93D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362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133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731F748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2E8631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473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8CB2614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48089BC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BB2E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2898AEE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1A3C7A5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14:paraId="232ED01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5F209A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między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16A0D5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DC4" w14:textId="77777777"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F15C3A9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14:paraId="20FFDA8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26E2B82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C6E3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1EE5AFD5" w14:textId="77777777"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00349CB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5DAB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1C26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14:paraId="7926AC07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14:paraId="5BA27AA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14:paraId="0348717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14:paraId="0D350A4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14:paraId="46D7A31A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14:paraId="5999097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postacie historyczne: Karol Darwin, Maria Skłodowska-Curie, Ludwik Pasteur, bracia Wright, bracia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proofErr w:type="spellEnd"/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0CA312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14:paraId="02D8D404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14:paraId="534A5533" w14:textId="77777777"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64C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14:paraId="2E2D788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141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391137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FA4BD4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14:paraId="3DFD5E93" w14:textId="77777777"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C21FFD3" w14:textId="77777777"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3FF" w14:textId="77777777"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3EC0F61" w14:textId="77777777"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14:paraId="3216CBE3" w14:textId="77777777"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F98A087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D532573" w14:textId="77777777"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14:paraId="49D06E6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5C28B6D7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4A3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35C1B31" w14:textId="77777777"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 xml:space="preserve">Wilhelma Roentgena,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</w:t>
            </w:r>
            <w:proofErr w:type="spellEnd"/>
            <w:r w:rsidR="00E81573">
              <w:rPr>
                <w:rFonts w:cs="Humanst521EU-Normal"/>
                <w:sz w:val="20"/>
                <w:szCs w:val="20"/>
              </w:rPr>
              <w:t xml:space="preserve">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F8C0B81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14:paraId="1AA23280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nowe kierunki w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sztuce i architekturze;</w:t>
            </w:r>
          </w:p>
          <w:p w14:paraId="5B781BC9" w14:textId="77777777"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9CECC3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7CCD17" w14:textId="77777777"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244" w14:textId="77777777"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CF92EBB" w14:textId="77777777"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14:paraId="7E82A89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="00C84DBB" w:rsidRPr="000C67C6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="00C84DBB" w:rsidRPr="000C67C6">
              <w:rPr>
                <w:rFonts w:cs="Humanst521EU-Normal"/>
                <w:sz w:val="20"/>
                <w:szCs w:val="20"/>
              </w:rPr>
              <w:t xml:space="preserve">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14:paraId="758A1E4A" w14:textId="77777777"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zachorowań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E5B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14:paraId="26512F17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3885322" w14:textId="77777777"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14:paraId="6FEA07A8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14:paraId="750FB21C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DB6EE" w14:textId="77777777"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IV: Ziemie polskie po Wiośnie Ludów</w:t>
            </w:r>
          </w:p>
        </w:tc>
      </w:tr>
      <w:tr w:rsidR="00BC5EB7" w:rsidRPr="000C67C6" w14:paraId="42FEB74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C8BD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0281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14:paraId="2476F4D8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odwilż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posewastopolska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Rosji i Królestwie Polskim</w:t>
            </w:r>
          </w:p>
          <w:p w14:paraId="029BBE1E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14:paraId="2BD9287E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stronnictwa polityczne w Królestwie Polskim – „biali” i „czerwoni”</w:t>
            </w:r>
          </w:p>
          <w:p w14:paraId="44F327F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14:paraId="3F51166E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14:paraId="24D662CA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14:paraId="4F98974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14:paraId="2BF06BF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14:paraId="416AAF28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14:paraId="34CE75DC" w14:textId="77777777"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14:paraId="6F8C5B13" w14:textId="77777777"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E62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>ewolucję 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14:paraId="632068EB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dokonuje charakterystyki działań powstańczych z uwzględnieniem,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6D65D7DC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09D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87F843D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14:paraId="5F010614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14:paraId="45531903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FF36993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825EBF1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5797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14:paraId="4A0209EE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B43D3A4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41B0ECD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14:paraId="1D13883F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15E8E17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37DBA7B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EE61" w14:textId="77777777"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330D614" w14:textId="77777777"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14:paraId="6391AB1C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14:paraId="665E35F3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charakteryzuje odwilż </w:t>
            </w:r>
            <w:proofErr w:type="spellStart"/>
            <w:r w:rsidR="00615562" w:rsidRPr="000C67C6">
              <w:rPr>
                <w:rFonts w:ascii="Calibri" w:hAnsi="Calibri"/>
                <w:sz w:val="20"/>
                <w:szCs w:val="20"/>
              </w:rPr>
              <w:t>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74890E1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5EAED44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14:paraId="609D2843" w14:textId="77777777"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7506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37C2320" w14:textId="77777777"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aresztowania Romualda Traugutta (IV 1864), objęcia dyktatury przez Mariana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Langiewicza (III 1863);</w:t>
            </w:r>
          </w:p>
          <w:p w14:paraId="1C5C4217" w14:textId="77777777"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14:paraId="1A60406D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99467CA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4D5EBA8D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8AF7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60AF41A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1D438980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14:paraId="3D261CD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3A4D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6554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14:paraId="3EA41AB0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14:paraId="38A09D3E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14:paraId="04BD1C0F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14:paraId="65EA1854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14:paraId="60B44726" w14:textId="77777777"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14:paraId="7F1A6793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14:paraId="33046C63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14:paraId="4BBEE0B7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postawy Polaków wobec polityki zaborców w zaborze pruskim i austriackim</w:t>
            </w:r>
          </w:p>
          <w:p w14:paraId="74BFA2A5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14:paraId="76CF8FCB" w14:textId="77777777"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14:paraId="13CC68B1" w14:textId="77777777"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1137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14:paraId="59762653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14:paraId="24A91299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(XXIII.2)</w:t>
            </w:r>
          </w:p>
          <w:p w14:paraId="053B4643" w14:textId="77777777"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212D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14:paraId="691C94F6" w14:textId="77777777"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14:paraId="088B8480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B66E1E3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64F4B4ED" w14:textId="77777777"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E4DB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7D16997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14:paraId="67CCC35C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14:paraId="356F83C7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14:paraId="121F3D97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38A8A98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C0AA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632EC43" w14:textId="77777777"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 identyfikuje postacie: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A9E8A27" w14:textId="77777777"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14:paraId="6F26BC67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C16AB23" w14:textId="77777777"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postawę Polaków wobec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30F6" w14:textId="77777777"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E531FA4" w14:textId="77777777"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14:paraId="75F19AFC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0D3AF88" w14:textId="77777777"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C327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2A8ABB3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14:paraId="0BCFC786" w14:textId="77777777"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14:paraId="71456EA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8684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7B2E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14:paraId="1A4F45B1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14:paraId="6E3150B2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14:paraId="74F19BBF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postęp cywilizacyjny na ziemiach polskich w drugiej połowie XIX w. </w:t>
            </w:r>
          </w:p>
          <w:p w14:paraId="73F0DB8E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14:paraId="7A23C973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C26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374E92E2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 xml:space="preserve">adomości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5C65C337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EA06" w14:textId="77777777"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C64C83D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162A0C2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14:paraId="3FBDE8BA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E87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EC96DF" w14:textId="77777777"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464BD27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przedsiębiorczości Polaków w zaborze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7B980B3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28B0C58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8A72" w14:textId="77777777"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17D28A1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14:paraId="198C93F0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11423CC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14:paraId="3CAE1922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E0706E3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EA034FD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B7F0" w14:textId="77777777"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26268F" w14:textId="77777777"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0A23AE1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 proces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asymilacji Żydów i jakie były jego skutki;</w:t>
            </w:r>
          </w:p>
          <w:p w14:paraId="5AB99830" w14:textId="77777777"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14:paraId="1D104A19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60B3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14:paraId="00E6039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38671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5B50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14:paraId="34710A18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14:paraId="6F9D0246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podziały na polskiej scenie politycznej na przełomie XIX i XX w.</w:t>
            </w:r>
          </w:p>
          <w:p w14:paraId="756D232C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14:paraId="76EB56FA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14:paraId="3D74A8BC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14:paraId="3F7A0E23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14:paraId="487D2663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14:paraId="04367D5C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14:paraId="3973DA49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EE46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4286BF68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społeczne i narodowe aspekty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14:paraId="4669D9AA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2346" w14:textId="77777777"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 rewolucji 1905–1907;</w:t>
            </w:r>
          </w:p>
          <w:p w14:paraId="7CE6306F" w14:textId="77777777"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14:paraId="25DD03C5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AE65058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A50726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2C13" w14:textId="77777777"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577A4A1" w14:textId="77777777"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14:paraId="79F37227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Ludwika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B6F2ED1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363CA16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4C96BD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CE51" w14:textId="77777777"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1DAC45A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0ABA31D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14:paraId="739D5105" w14:textId="77777777"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14:paraId="753A2393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BADC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CD45886" w14:textId="77777777"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powstania Socjaldemokracji Królestwa Polskiego (1893), Socjaldemokracji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14:paraId="3954D4E9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14:paraId="0678CC62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14:paraId="634587FE" w14:textId="77777777"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14:paraId="7D7F048B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CDE5092" w14:textId="77777777"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9F1F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37636F1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14:paraId="69266462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14:paraId="633F589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27E6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61F1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14:paraId="4E895984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14:paraId="063C0209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14:paraId="4726C805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14:paraId="35D43CDC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14:paraId="2A2FA3FB" w14:textId="77777777"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00B2A8C8" w14:textId="77777777"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6E7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19D2A93E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6EFD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BB5B3FB" w14:textId="77777777"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14:paraId="24C67662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14:paraId="6CB84B0A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BCB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14:paraId="770C6D1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14:paraId="32C2ABE8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14:paraId="7149A9F0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410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811095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0A0B10A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A354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6FEA870F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14:paraId="134C3779" w14:textId="77777777"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DF8DB85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charakteryzuje sztukę polską przełomu XIX i XX w.</w:t>
            </w:r>
          </w:p>
          <w:p w14:paraId="7F0A70DA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5EFE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6812398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14:paraId="08B1A8E4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362838" w14:textId="77777777"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V: I wojna światowa</w:t>
            </w:r>
          </w:p>
        </w:tc>
      </w:tr>
      <w:tr w:rsidR="00724307" w:rsidRPr="000C67C6" w14:paraId="00113F5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DD5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1F8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14:paraId="67A9533C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14:paraId="65EB12C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14:paraId="063CC21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14:paraId="63EF167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14:paraId="663CD353" w14:textId="77777777"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508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5427B3BD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3FB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6C4121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2AF6E88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D444E2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FB59" w14:textId="77777777"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14:paraId="0F953C42" w14:textId="77777777"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B3568E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B07015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790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14:paraId="7D4C8B9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C94E018" w14:textId="77777777"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05CE" w14:textId="77777777"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B13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14:paraId="4FF2220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A4D9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E8E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14:paraId="279AE09B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14:paraId="7BA77498" w14:textId="77777777"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walk na froncie wschodnim (bitwy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 Gorlicami)</w:t>
            </w:r>
          </w:p>
          <w:p w14:paraId="6230E6B3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14:paraId="090F480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14:paraId="2A4C119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zakończenie działań wojennych – traktat brzeski, rozejm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Compiègne</w:t>
            </w:r>
            <w:proofErr w:type="spellEnd"/>
          </w:p>
          <w:p w14:paraId="434A77EF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14:paraId="1AE7F5A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C0E2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16E27C1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09BE431D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63216615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167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A876BF" w14:textId="77777777"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14:paraId="21E05AF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70ED747" w14:textId="77777777"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14:paraId="4F6589F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9E0" w14:textId="77777777"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B3DEB8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805F0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4CA34A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6C52015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0971C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4BD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proofErr w:type="spellStart"/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proofErr w:type="spellEnd"/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CED61CE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9CDE87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B5CED4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63F" w14:textId="77777777"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14:paraId="12B308BB" w14:textId="77777777"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</w:t>
            </w:r>
            <w:proofErr w:type="spellStart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962993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9DB8E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B74E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14:paraId="5144246B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14:paraId="3E360B17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14:paraId="3A54529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14:paraId="27D6637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744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C7A6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14:paraId="68DA1A0C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14:paraId="12262A2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14:paraId="5D2D0F29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14:paraId="24AB79A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14:paraId="6167BD42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14:paraId="63D47DE4" w14:textId="77777777"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Aleksander Kiereński,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89C3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7F27FA4B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0423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A3D73F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2971FA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AA7123B" w14:textId="77777777"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14:paraId="467327D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F99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0DA32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938EF74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46F846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14:paraId="05AF8C0C" w14:textId="77777777"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14:paraId="3A9C4A14" w14:textId="77777777"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B11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14:paraId="65DF9DCF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14:paraId="4EB5F6B9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14:paraId="35C6FFF5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E56314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B8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1C97A930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14:paraId="014257EE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14:paraId="6933EF7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14:paraId="0877B129" w14:textId="77777777"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14:paraId="72D41E8D" w14:textId="77777777"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EAF4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7AAD97D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8BD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E592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14:paraId="43B8D9AC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14:paraId="258367D7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14:paraId="3D335A1A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14:paraId="76147DB8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14:paraId="0B27F9BA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14:paraId="17A40E0B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14:paraId="0BBB7BB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14:paraId="3284D18D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orędzie prezydenta T.W.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Wilsona dla sprawy polskiej</w:t>
            </w:r>
          </w:p>
          <w:p w14:paraId="2C67D40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14:paraId="263F0204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14:paraId="5A3D20A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Haller, Ignacy Jan Paderewski, Thomas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Woodrow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9DC5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4FC6943D" w14:textId="77777777"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C3C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31489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DB9CC40" w14:textId="77777777"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BDD8A78" w14:textId="77777777"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3D15E18E" w14:textId="77777777"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D4C3" w14:textId="77777777"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240FDF5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14:paraId="125B4D9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53BB519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5116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C74AD49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14:paraId="4328796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2C61A85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14:paraId="04F4195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DADA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7E4A92B" w14:textId="77777777"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14:paraId="6A3A81E4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F0E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048248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32DEB425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A63225" w14:textId="77777777"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VI: Świat w okresie międzywojennym</w:t>
            </w:r>
          </w:p>
        </w:tc>
      </w:tr>
      <w:tr w:rsidR="00187072" w:rsidRPr="000C67C6" w14:paraId="32E81D00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CF4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9967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14:paraId="71BED5A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14:paraId="41177A3A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14:paraId="3CB8E80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nowych lub odzyskanie niepodległości przez narody europejskie (Polska, Czechosłowacja, Królestwo SHS, Litwa, Łotwa, Estonia, Finlandia, Irlandia)</w:t>
            </w:r>
          </w:p>
          <w:p w14:paraId="1CA9152E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14:paraId="1D9E3CA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14:paraId="5A88F229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ład wersalski, mały traktat wersalski, demilitaryzacja, państwo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monoetniczne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Liga Narodów, czarny czwartek, New Deal</w:t>
            </w:r>
          </w:p>
          <w:p w14:paraId="52BEEA8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42DE" w14:textId="77777777"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14:paraId="666A01D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2C2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268308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14:paraId="62198D0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943CF96" w14:textId="77777777"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14:paraId="097F6E02" w14:textId="77777777"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14:paraId="78AC054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C09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3B263CD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14:paraId="7DAB835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7D99E15" w14:textId="77777777"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14:paraId="3292559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19A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E81F45" w14:textId="77777777"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14:paraId="39048BF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lastRenderedPageBreak/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E7A1370" w14:textId="77777777"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2C489CEF" w14:textId="77777777"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14:paraId="78B9505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144A" w14:textId="77777777"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14:paraId="40105BAF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 xml:space="preserve">’a, </w:t>
            </w:r>
            <w:r w:rsidR="007A1B29">
              <w:rPr>
                <w:rFonts w:cs="Humanst521EU-Normal"/>
                <w:sz w:val="20"/>
                <w:szCs w:val="20"/>
              </w:rPr>
              <w:lastRenderedPageBreak/>
              <w:t>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14:paraId="4E9A2BB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B8B7E2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1E8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86790D0" w14:textId="77777777"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82B5EFE" w14:textId="77777777"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wyjaśnia, jaką rolę w podważeniu ładu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28B520E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640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A1B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14:paraId="6ABF80EE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i rozwój niemieckiego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narodowego socjalizmu (ideologia, działalność partii narodowosocjalistycznej)</w:t>
            </w:r>
          </w:p>
          <w:p w14:paraId="4FC2250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14:paraId="6613F72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14:paraId="26FC888D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narodowy socjalizm (nazizm), system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monopartyjny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, propaganda, totalitaryzm, autorytaryzm, antysemityzm, ustawy norymberskie, „noc długich noży”, obóz koncentracyjny, „noc kryształowa”,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hitlerjugend</w:t>
            </w:r>
            <w:proofErr w:type="spellEnd"/>
          </w:p>
          <w:p w14:paraId="410F61B7" w14:textId="77777777"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>: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70D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oblicza totalitaryzmu (niemieckiego narodowego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3F08B26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074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obóz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1707A1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309B681" w14:textId="77777777"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6AB320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14:paraId="40AB151A" w14:textId="77777777"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691F" w14:textId="77777777"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DAED2E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14:paraId="26DEDA4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14:paraId="4E691CF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1888ED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8B8C" w14:textId="77777777"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 xml:space="preserve">ustawy </w:t>
            </w:r>
            <w:r w:rsidRPr="00104FF4">
              <w:rPr>
                <w:rFonts w:cs="Humanst521EU-Normal"/>
                <w:i/>
                <w:sz w:val="20"/>
                <w:szCs w:val="20"/>
              </w:rPr>
              <w:lastRenderedPageBreak/>
              <w:t>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DE2519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14:paraId="7E614F5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D67A" w14:textId="77777777"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lastRenderedPageBreak/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14:paraId="312CF07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412FA7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71EDE1B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5A7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14:paraId="6E0B85D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B1967EF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25EC88C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190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1CF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14:paraId="5C787656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14:paraId="146095D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14:paraId="58610F5A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14:paraId="1E96DD0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14:paraId="1CA9BCD2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14:paraId="36BD7A0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14:paraId="1DFEA7F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14:paraId="4D7FB27C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</w:p>
          <w:p w14:paraId="36EF188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C2EC9" w14:textId="77777777"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CA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AE57F0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14:paraId="6146C02D" w14:textId="77777777"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14:paraId="7247649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7EC25A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E469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6183763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14:paraId="0B5A454B" w14:textId="77777777"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120FBA8" w14:textId="77777777"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14:paraId="0963125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AF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1806BCA" w14:textId="77777777"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14:paraId="46B400D8" w14:textId="77777777"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14:paraId="02913DDB" w14:textId="77777777"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14:paraId="18FEB6CE" w14:textId="77777777"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1C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82D532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DDBC9D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3DC4D85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B8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770BFA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1B7656CC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14:paraId="52779516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3A3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261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14:paraId="3ACC9BAC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14:paraId="567CE25C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14:paraId="1004CB3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14:paraId="22F42CF6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14:paraId="0C6D8D25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14:paraId="61CC8B9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420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6D92FCA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9085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69F04AE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14:paraId="1D8329D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BE880B5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14:paraId="319E7FA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36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FB6BE5C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14:paraId="00B1BBFF" w14:textId="77777777"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E0AE" w14:textId="77777777"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4095225" w14:textId="77777777"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4A1401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14:paraId="392391D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7BEA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561956E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14:paraId="5BAE5322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14:paraId="49B825B4" w14:textId="77777777"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48E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14:paraId="00DA0A66" w14:textId="77777777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536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155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14:paraId="1A4EE8B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14:paraId="6043A7D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14:paraId="1E8A2B96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14:paraId="35B6DC7B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remilitaryzacja,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państwa osi, polityka ustępstw</w:t>
            </w:r>
          </w:p>
          <w:p w14:paraId="43351CFF" w14:textId="77777777"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</w:t>
            </w:r>
            <w:proofErr w:type="spellStart"/>
            <w:r w:rsidR="00187072" w:rsidRPr="000C67C6">
              <w:rPr>
                <w:rFonts w:cstheme="minorHAnsi"/>
                <w:sz w:val="20"/>
                <w:szCs w:val="20"/>
              </w:rPr>
              <w:t>Neville</w:t>
            </w:r>
            <w:proofErr w:type="spellEnd"/>
            <w:r w:rsidR="00187072" w:rsidRPr="000C67C6">
              <w:rPr>
                <w:rFonts w:cstheme="minorHAnsi"/>
                <w:sz w:val="20"/>
                <w:szCs w:val="20"/>
              </w:rPr>
              <w:t xml:space="preserve">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32F5" w14:textId="77777777"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6DFDD66A" w14:textId="77777777"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928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14:paraId="295DF06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3DBAC2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D692C9C" w14:textId="77777777"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CF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EB7AEEB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14:paraId="27BE42B7" w14:textId="77777777"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3C0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B9682D5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14:paraId="3826037D" w14:textId="77777777"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14:paraId="2560B1A5" w14:textId="77777777"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14:paraId="098BDB9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574D34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DD92772" w14:textId="77777777"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4185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14:paraId="269D3D98" w14:textId="77777777"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C57C" w14:textId="77777777"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AB51B03" w14:textId="77777777"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proofErr w:type="spellStart"/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proofErr w:type="spellEnd"/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14:paraId="37E86654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CDA965" w14:textId="77777777"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14:paraId="5F48C047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7343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CDDF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14:paraId="782AB980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14:paraId="1A1B6D5F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14:paraId="293F9162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14:paraId="06B9151A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14:paraId="056B3847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A73F" w14:textId="77777777"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14:paraId="19CF2994" w14:textId="77777777"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3B7AD8D3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EA1F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00E8E7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697B3D2B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7E69CB3" w14:textId="77777777"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3F18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17F3ACF" w14:textId="77777777"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Ignacego Daszyńskiego, Jędrzeja Moraczewskiego, Ignacego Jana Paderewskiego;</w:t>
            </w:r>
          </w:p>
          <w:p w14:paraId="68FFEECA" w14:textId="77777777"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14:paraId="3D78A22F" w14:textId="77777777"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C70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17C95AB7" w14:textId="77777777"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14:paraId="22A9E0CB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9C11" w14:textId="77777777"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66D2D97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C588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 xml:space="preserve">charakteryzuje sytuację polityczną na ziemiach polskich </w:t>
            </w:r>
            <w:r w:rsidR="003D2B8C" w:rsidRPr="000C67C6">
              <w:rPr>
                <w:rFonts w:cstheme="minorHAnsi"/>
                <w:sz w:val="20"/>
                <w:szCs w:val="20"/>
              </w:rPr>
              <w:lastRenderedPageBreak/>
              <w:t>w pierwszym roku niepodległości;</w:t>
            </w:r>
          </w:p>
          <w:p w14:paraId="11F8DDC8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14:paraId="1361004D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14:paraId="0B5537C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14:paraId="250658B8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437B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7770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14:paraId="64C4CE8A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konflikt polsko-ukraiński o Galicję Wschodnią</w:t>
            </w:r>
          </w:p>
          <w:p w14:paraId="6D346F94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14:paraId="0FA96CBE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14:paraId="71BD5EC1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14:paraId="08E918F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14:paraId="71705396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14:paraId="7D438BBD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14:paraId="2354C161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14:paraId="058B797D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koncepcja inkorporacyjna, koncepcja federacyjna,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Orlęta Lwowskie, „cud nad Wisłą”, linia Curzona, bunt Żeligowskiego, plebiscyt</w:t>
            </w:r>
          </w:p>
          <w:p w14:paraId="52C05C51" w14:textId="77777777"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7A33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>kształtowania się granic (decyzje wersalskie, 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7151EA">
              <w:rPr>
                <w:rFonts w:cstheme="minorHAnsi"/>
                <w:sz w:val="20"/>
                <w:szCs w:val="20"/>
              </w:rPr>
              <w:t>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r w:rsidR="007151EA">
              <w:rPr>
                <w:rFonts w:cstheme="minorHAnsi"/>
                <w:sz w:val="20"/>
                <w:szCs w:val="20"/>
              </w:rPr>
              <w:t xml:space="preserve">, </w:t>
            </w:r>
            <w:r w:rsidR="007151EA">
              <w:rPr>
                <w:rFonts w:cstheme="minorHAnsi"/>
                <w:sz w:val="20"/>
                <w:szCs w:val="20"/>
              </w:rPr>
              <w:lastRenderedPageBreak/>
              <w:t>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>e) 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14:paraId="4C36CA26" w14:textId="77777777"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28D" w14:textId="77777777"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00137C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Bitwy Warszawskiej (15 VIII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9C4BCC2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14:paraId="4B8A298E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14:paraId="0E690694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6E2E1502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53C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9AF2436" w14:textId="77777777"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wybuchu powstania wielkopolskiego (27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14:paraId="6F0CF75E" w14:textId="77777777"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F7AC37D" w14:textId="77777777"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14:paraId="03AA737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D1B988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6B680A0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2716C52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325F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 xml:space="preserve">koncepcja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lastRenderedPageBreak/>
              <w:t>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37A4346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14:paraId="6473C053" w14:textId="77777777"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Petlury, Tadeusza Rozwadowskiego;</w:t>
            </w:r>
          </w:p>
          <w:p w14:paraId="47A61F92" w14:textId="77777777"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14:paraId="4B1601B3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64C0BD1" w14:textId="77777777"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 xml:space="preserve">wojny </w:t>
            </w:r>
            <w:r w:rsidR="003D7A47" w:rsidRPr="000C67C6">
              <w:rPr>
                <w:rFonts w:cstheme="minorHAnsi"/>
                <w:sz w:val="20"/>
                <w:szCs w:val="20"/>
              </w:rPr>
              <w:lastRenderedPageBreak/>
              <w:t>polsko- bolszewickiej;</w:t>
            </w:r>
          </w:p>
          <w:p w14:paraId="4E6E17F5" w14:textId="77777777"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7099F355" w14:textId="77777777"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0235" w14:textId="77777777"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3768EB0" w14:textId="77777777"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postać Józefa Hallera;</w:t>
            </w:r>
          </w:p>
          <w:p w14:paraId="164CAAD7" w14:textId="77777777"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14:paraId="1642B6BA" w14:textId="77777777"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1868AF0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30F4E87" w14:textId="77777777"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03F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E619B5D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1920D89" w14:textId="77777777"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B1E16F1" w14:textId="77777777"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14:paraId="6C62CAAE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14:paraId="725B4461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46B5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92FA" w14:textId="77777777"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14:paraId="6A3A5929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14:paraId="5B7B59A7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14:paraId="262B3AC1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14:paraId="6379C4D8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14:paraId="51817E4A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rząd W. Grabskiego i jego reformy</w:t>
            </w:r>
          </w:p>
          <w:p w14:paraId="6FD6C555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14:paraId="1D5D2FAA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14:paraId="1AFA41E2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CA0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14:paraId="588E6194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14:paraId="6942413B" w14:textId="77777777"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65CD" w14:textId="77777777"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BC73C7E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5689180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7A2D2A2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3C7789B6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E482" w14:textId="77777777"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E4D1D73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14:paraId="4F6FB6E4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14:paraId="0BC83B2C" w14:textId="77777777"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14:paraId="1B92C182" w14:textId="77777777"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4661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996F33F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EFE82F6" w14:textId="77777777"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4F317B8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rządy parlamentarne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CD8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D968C29" w14:textId="77777777"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38BCBC0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51449D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5C5A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020B8B8" w14:textId="77777777"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14:paraId="40603EEE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3FC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05D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14:paraId="22AFC9F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14:paraId="4CE3410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14:paraId="4542638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wzmocnienie władzy wykonawczej poprzez wprowadzenie noweli sierpniowej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konstytucji kwietniowej z 1935 r.</w:t>
            </w:r>
          </w:p>
          <w:p w14:paraId="1EF16F3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14:paraId="2F45434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14:paraId="0F333657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14:paraId="3AB873E2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14:paraId="51427B7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14:paraId="7E887B2B" w14:textId="77777777"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przewrót majowy, piłsudczycy, sanacja, autorytaryzm, nowela sierpniowa, BBWR, Centrolew, wybory brzeskie, proces brzeski, konstytucja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kwietniowa, Bereza Kartuska</w:t>
            </w:r>
          </w:p>
          <w:p w14:paraId="54EA1E2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950E" w14:textId="77777777"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kryzys demokracji parlamentarnej w Polsce – przyczyny, 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766D1558" w14:textId="77777777"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51D8DA5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073C06F5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główne kierunki 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9AF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ABC5416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35F2BAD7" w14:textId="77777777"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</w:t>
            </w:r>
            <w:r w:rsidR="00D74E07" w:rsidRPr="000C67C6">
              <w:rPr>
                <w:rFonts w:cstheme="minorHAnsi"/>
                <w:sz w:val="20"/>
                <w:szCs w:val="20"/>
              </w:rPr>
              <w:lastRenderedPageBreak/>
              <w:t xml:space="preserve">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3BF6A4B2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14:paraId="00190B4C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5BD312C9" w14:textId="77777777"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15B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3A2EFC99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nowela sierpniowa, autorytaryzm,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konstytucja kwietniowa, polityka równowagi;</w:t>
            </w:r>
          </w:p>
          <w:p w14:paraId="379D3992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5B67487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3A1146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14:paraId="359826C2" w14:textId="77777777"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29139F91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70DD554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F880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0764ECB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 xml:space="preserve">a Wojciechowskiego </w:t>
            </w:r>
            <w:r w:rsidR="00F57C17" w:rsidRPr="000C67C6">
              <w:rPr>
                <w:rFonts w:cs="Humanst521EU-Normal"/>
                <w:sz w:val="20"/>
                <w:szCs w:val="20"/>
              </w:rPr>
              <w:lastRenderedPageBreak/>
              <w:t>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14:paraId="65B9AB2B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14:paraId="1EE88044" w14:textId="77777777"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14:paraId="588D7CE7" w14:textId="77777777"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9FB5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14:paraId="0AE4AAEA" w14:textId="77777777"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17D836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7273A05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14:paraId="46E9BAB8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14:paraId="0FACEF2D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4C0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15117E9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3F0F133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5BA356C0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FB2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57C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14:paraId="3FCDEE6B" w14:textId="77777777"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14:paraId="5A404E2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14:paraId="7002C205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14:paraId="34DA3F31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14:paraId="33B6FA9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14:paraId="0DB75642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E3B0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14:paraId="184FBC3E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14:paraId="45F5602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8D6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278168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40469B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8579DCA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14:paraId="344D3D34" w14:textId="77777777"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14:paraId="1231C02C" w14:textId="77777777"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0804" w14:textId="77777777"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18E457E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1A0CA38E" w14:textId="77777777"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14:paraId="71EB3B93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14:paraId="6859710F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A5333A0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4F05F88" w14:textId="77777777"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DF83" w14:textId="77777777"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1C48F37" w14:textId="77777777"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14:paraId="3CB6F6AA" w14:textId="77777777"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14:paraId="5221AEC0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139D12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21A3B28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35C53F5" w14:textId="77777777"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C376" w14:textId="77777777"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14:paraId="63103718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01E7A86" w14:textId="77777777"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2240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2E1B43C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7CC58D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579BB86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3A1BE816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26E651F2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FDE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A3C9" w14:textId="77777777"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14:paraId="58EB4A4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14:paraId="558E8EF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14:paraId="590E900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14:paraId="1EB7A27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14:paraId="05E0DE9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analfabetyzm, awangarda, Enigma,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Luxtorpeda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15A7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6B41" w14:textId="77777777"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639D704E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14:paraId="29EA5C6B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14:paraId="1EE846EB" w14:textId="77777777"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 xml:space="preserve">wymienia nurty, które powstały w </w:t>
            </w:r>
            <w:r w:rsidR="005C393A" w:rsidRPr="000C67C6">
              <w:rPr>
                <w:rFonts w:cstheme="minorHAnsi"/>
                <w:sz w:val="20"/>
                <w:szCs w:val="20"/>
              </w:rPr>
              <w:lastRenderedPageBreak/>
              <w:t>malarstwie i architekturze.</w:t>
            </w:r>
          </w:p>
          <w:p w14:paraId="4FF57B3D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B32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F366010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14:paraId="64104CE8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14:paraId="60634D4D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7D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430F63A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14:paraId="6562CA1D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9F09979" w14:textId="77777777"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6FC1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F980CD1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14:paraId="77306F43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14:paraId="1829462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2759799" w14:textId="77777777"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6FFE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14:paraId="30341DAF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864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678B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14:paraId="06A22A1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14:paraId="1636ACF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14:paraId="4A9596E8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14:paraId="67CB17B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14:paraId="75590A9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pakt Ribbentrop–Mołotow i jego konsekwencje</w:t>
            </w:r>
          </w:p>
          <w:p w14:paraId="73F71CA9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14:paraId="6A13846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DA0E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14:paraId="461C09E0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3CB3B875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55B8316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0309" w14:textId="77777777"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14:paraId="237A1AF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E69D731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5D713BA1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14:paraId="5C097E9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734AE87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BCC7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58AE3E6" w14:textId="77777777"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C55E4F2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14:paraId="263CCB18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wskazuje na mapie: Zaolzie, obszary, które na mocy paktu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Ribbentrop–Mołotow miały przypaść III Rzeszy i ZSRS;</w:t>
            </w:r>
          </w:p>
          <w:p w14:paraId="05480D85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83B6AD4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13BE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1C839DD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960A4F4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2465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14:paraId="497204EB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14:paraId="36337720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14:paraId="6F6DD29A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wyjaśnia, jaki wpływ miały brytyjskie i francuskie gwarancje dla Polski na politykę Adolfa Hitlera;</w:t>
            </w:r>
          </w:p>
          <w:p w14:paraId="63353ED3" w14:textId="77777777"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F9D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EA18049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64C3377A" w14:textId="77777777"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14:paraId="0D87D615" w14:textId="77777777" w:rsidR="00DE3746" w:rsidRDefault="00DE3746" w:rsidP="003358A9">
      <w:pPr>
        <w:spacing w:after="0"/>
        <w:rPr>
          <w:rFonts w:cstheme="minorHAnsi"/>
          <w:b/>
          <w:sz w:val="20"/>
          <w:szCs w:val="20"/>
        </w:rPr>
      </w:pPr>
    </w:p>
    <w:p w14:paraId="5BBF2337" w14:textId="77777777" w:rsidR="00DE3746" w:rsidRPr="000C67C6" w:rsidRDefault="00DE3746" w:rsidP="003358A9">
      <w:pPr>
        <w:spacing w:after="0"/>
        <w:rPr>
          <w:rFonts w:cstheme="minorHAnsi"/>
          <w:b/>
          <w:sz w:val="20"/>
          <w:szCs w:val="20"/>
        </w:rPr>
      </w:pPr>
    </w:p>
    <w:p w14:paraId="09DB06D3" w14:textId="77777777" w:rsidR="003358A9" w:rsidRPr="000C67C6" w:rsidRDefault="003358A9">
      <w:pPr>
        <w:rPr>
          <w:sz w:val="20"/>
          <w:szCs w:val="20"/>
        </w:rPr>
      </w:pPr>
    </w:p>
    <w:p w14:paraId="3DC30AF7" w14:textId="77777777" w:rsidR="00DE3746" w:rsidRPr="001933A7" w:rsidRDefault="00DE3746" w:rsidP="00DE3746">
      <w:pPr>
        <w:pStyle w:val="Akapitzlist"/>
        <w:numPr>
          <w:ilvl w:val="0"/>
          <w:numId w:val="2"/>
        </w:numPr>
        <w:suppressAutoHyphens w:val="0"/>
        <w:ind w:right="1366"/>
        <w:contextualSpacing/>
        <w:jc w:val="both"/>
        <w:rPr>
          <w:rFonts w:ascii="Arial" w:eastAsia="Swis721 WGL4 BT" w:hAnsi="Arial" w:cs="Arial"/>
          <w:w w:val="75"/>
        </w:rPr>
      </w:pPr>
      <w:r w:rsidRPr="001933A7">
        <w:rPr>
          <w:rFonts w:ascii="Arial" w:eastAsia="Swis721 WGL4 BT" w:hAnsi="Arial" w:cs="Arial"/>
          <w:w w:val="75"/>
        </w:rPr>
        <w:t>Ocenianie</w:t>
      </w:r>
    </w:p>
    <w:p w14:paraId="7E88772D" w14:textId="77777777" w:rsidR="00DE3746" w:rsidRPr="001933A7" w:rsidRDefault="00DE3746" w:rsidP="00132EDB">
      <w:pPr>
        <w:pStyle w:val="Akapitzlist"/>
        <w:rPr>
          <w:rFonts w:ascii="Arial" w:hAnsi="Arial" w:cs="Arial"/>
        </w:rPr>
      </w:pPr>
      <w:r w:rsidRPr="001933A7">
        <w:rPr>
          <w:rFonts w:ascii="Arial" w:hAnsi="Arial" w:cs="Arial"/>
        </w:rPr>
        <w:t>Skala procentowa:</w:t>
      </w:r>
    </w:p>
    <w:p w14:paraId="67552159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>0% -29% - ocena niedostateczna</w:t>
      </w:r>
    </w:p>
    <w:p w14:paraId="47ED3C28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>30% - 49% - ocena dopuszczająca</w:t>
      </w:r>
    </w:p>
    <w:p w14:paraId="7329A8CA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 xml:space="preserve">50% -74% - ocena dostateczna </w:t>
      </w:r>
    </w:p>
    <w:p w14:paraId="203D3A8E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>75% -90% - ocena dobra</w:t>
      </w:r>
    </w:p>
    <w:p w14:paraId="67FC2616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>91% - 99%- ocena bardzo dobra</w:t>
      </w:r>
    </w:p>
    <w:p w14:paraId="4F4E054A" w14:textId="77777777" w:rsidR="00132EDB" w:rsidRPr="00132EDB" w:rsidRDefault="00132EDB" w:rsidP="00132ED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32EDB">
        <w:rPr>
          <w:rFonts w:ascii="Arial" w:hAnsi="Arial" w:cs="Arial"/>
        </w:rPr>
        <w:t>100%- ocena celująca</w:t>
      </w:r>
    </w:p>
    <w:p w14:paraId="2DB7FAB3" w14:textId="77777777" w:rsidR="00DE3746" w:rsidRPr="001933A7" w:rsidRDefault="00DE3746" w:rsidP="00DE3746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06197667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ciągu roku szkolnego przewidziane są całogodzinne sprawdziany pisemne po zakończeniu działu, które nauczyciel zapowiada z tygodniowym wyprzedzeniem. Sprawdzian poprzedzony jest lekcją powtórzeniową.</w:t>
      </w:r>
    </w:p>
    <w:p w14:paraId="19E00AF0" w14:textId="77777777" w:rsidR="00DE3746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każdym dziale nauczyciel może przeprowadzić 2 krótkie, 10 minutowe kartkówki. Kartkówki będą zapowiadane na lekcji poprzedzającej. Uczeń zostanie poinformowany o zakresie materiału, który będzie na kartkówkach.</w:t>
      </w:r>
    </w:p>
    <w:p w14:paraId="43105189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Oceny są jawne.</w:t>
      </w:r>
    </w:p>
    <w:p w14:paraId="6414BF06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lastRenderedPageBreak/>
        <w:t>Uczeń ma prawo wglądu do pracy sprawdzającej i zapoznanie się z błędami. Ma również prawo do wyjaśnienia ich przez nauczyciela.</w:t>
      </w:r>
    </w:p>
    <w:p w14:paraId="0AF1233F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Ocenione prace pisemne uczeń powinien otrzymać w ciągu 2 tygodni.</w:t>
      </w:r>
    </w:p>
    <w:p w14:paraId="5FE1E819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Uczeń może poprawić ocenę ze sprawdzianu pisemnego i kartkówki w terminie do 2 tygodni od zapoznania się z wynikami. Uczniowie nieobecni na sprawdzianie lub kartkówce piszą sprawdzian na najbliższej lekcji. W przypadku dłuższej choroby termin będzie uzgadniany indywidualnie.</w:t>
      </w:r>
    </w:p>
    <w:p w14:paraId="7891FA78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Uczeń ma prawo do jednokrotnej próby poprawienia każdej oceny z dłuższych form pisemnych w trybie uzgodnionym z nauczycielem, jednak nie później niż w ciągu 2 tygodni od daty jej wystawienia.</w:t>
      </w:r>
    </w:p>
    <w:p w14:paraId="1342C34F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O możliwości poprawiania oceny z krótkich sprawdzianów trwających nie więcej niż 20 min decyduje nauczyciel przedmiotu.</w:t>
      </w:r>
    </w:p>
    <w:p w14:paraId="034B6EF7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Poprawiona ocena odnotowana jest w dzienniku. </w:t>
      </w:r>
    </w:p>
    <w:p w14:paraId="7FECB538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przypadku nie uczestniczenia ucznia, w którejś z obowiązujących procedur oceniania, bez względu na jego przyczyny, nauczyciel w miejsce oceny wpisuje symbol (</w:t>
      </w:r>
      <w:proofErr w:type="spellStart"/>
      <w:r w:rsidRPr="001933A7">
        <w:rPr>
          <w:rFonts w:ascii="Arial" w:hAnsi="Arial" w:cs="Arial"/>
        </w:rPr>
        <w:t>nb</w:t>
      </w:r>
      <w:proofErr w:type="spellEnd"/>
      <w:r w:rsidRPr="001933A7">
        <w:rPr>
          <w:rFonts w:ascii="Arial" w:hAnsi="Arial" w:cs="Arial"/>
        </w:rPr>
        <w:t>), uczeń ma obowiązek poddania się tej formie sprawdzenia jego osiągnięć, w trybie określonym przez nauczyciela, wyłącznie w czasie zajęć szkolnych z danego przedmiotu, po uzyskaniu oceny nauczyciel w miejsce symboli (</w:t>
      </w:r>
      <w:proofErr w:type="spellStart"/>
      <w:r w:rsidRPr="001933A7">
        <w:rPr>
          <w:rFonts w:ascii="Arial" w:hAnsi="Arial" w:cs="Arial"/>
        </w:rPr>
        <w:t>nb</w:t>
      </w:r>
      <w:proofErr w:type="spellEnd"/>
      <w:r w:rsidRPr="001933A7">
        <w:rPr>
          <w:rFonts w:ascii="Arial" w:hAnsi="Arial" w:cs="Arial"/>
        </w:rPr>
        <w:t xml:space="preserve">) wpisuje ocenę; 1) w sytuacji nie przystąpienia przez ucznia do procedury oceniania, nauczyciel ma prawo w trybie dowolnym sprawdzić, czy uczeń opanował dane treści nauczania i umiejętności. </w:t>
      </w:r>
    </w:p>
    <w:p w14:paraId="36F12E17" w14:textId="77777777" w:rsidR="00DE3746" w:rsidRPr="001933A7" w:rsidRDefault="00DE3746" w:rsidP="00DE3746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Wiadomości sprawdzane podczas odpowiedzi ustnej obejmują materiał dotyczący przerabianego materiału (3 ostatnie lekcje).</w:t>
      </w:r>
    </w:p>
    <w:p w14:paraId="5D8205CA" w14:textId="77777777" w:rsidR="00DE3746" w:rsidRPr="001933A7" w:rsidRDefault="00DE3746" w:rsidP="00DE3746">
      <w:pPr>
        <w:pStyle w:val="Akapitzlist"/>
        <w:rPr>
          <w:rFonts w:ascii="Arial" w:hAnsi="Arial" w:cs="Arial"/>
        </w:rPr>
      </w:pPr>
    </w:p>
    <w:p w14:paraId="602503A0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II. Wystawianie oceny śródrocznej i rocznej -</w:t>
      </w:r>
      <w:r>
        <w:rPr>
          <w:rFonts w:ascii="Arial" w:hAnsi="Arial" w:cs="Arial"/>
          <w:sz w:val="24"/>
          <w:szCs w:val="24"/>
        </w:rPr>
        <w:t xml:space="preserve"> </w:t>
      </w:r>
      <w:r w:rsidRPr="001933A7">
        <w:rPr>
          <w:rFonts w:ascii="Arial" w:hAnsi="Arial" w:cs="Arial"/>
          <w:sz w:val="24"/>
          <w:szCs w:val="24"/>
        </w:rPr>
        <w:t>hierarchia poszczególnych ocen cząstkowych:</w:t>
      </w:r>
    </w:p>
    <w:p w14:paraId="07090AE3" w14:textId="79870AE8" w:rsidR="00DE3746" w:rsidRPr="001933A7" w:rsidRDefault="00DE3746" w:rsidP="00DE3746">
      <w:pPr>
        <w:pStyle w:val="Akapitzlist"/>
        <w:ind w:left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1.Wystawiania ocen za I okres i na koniec roku szkolnego dokonuje się na podstawie ocen </w:t>
      </w:r>
      <w:r>
        <w:rPr>
          <w:rFonts w:ascii="Arial" w:hAnsi="Arial" w:cs="Arial"/>
        </w:rPr>
        <w:t>bieżących</w:t>
      </w:r>
      <w:r w:rsidRPr="001933A7">
        <w:rPr>
          <w:rFonts w:ascii="Arial" w:hAnsi="Arial" w:cs="Arial"/>
        </w:rPr>
        <w:t>, przy czym większą wagę mają oceny ze sprawdzianów i kartkówek, w drugiej kolejności są odpowiedzi ustne, prace, aktywność na lekcji.</w:t>
      </w:r>
    </w:p>
    <w:p w14:paraId="00F36050" w14:textId="77777777" w:rsidR="00DE3746" w:rsidRPr="001933A7" w:rsidRDefault="00DE3746" w:rsidP="00DE3746">
      <w:pPr>
        <w:pStyle w:val="Akapitzlist"/>
        <w:ind w:left="2880"/>
        <w:rPr>
          <w:rFonts w:ascii="Arial" w:hAnsi="Arial" w:cs="Arial"/>
        </w:rPr>
      </w:pPr>
    </w:p>
    <w:p w14:paraId="13C2993C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III. Sposoby informowania uczniów i rodziców:</w:t>
      </w:r>
    </w:p>
    <w:p w14:paraId="2B7D40CE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1.Poprzez dziennik elektroniczny, indywidualnej rozmowy z uczniem lub rodzicem, podczas spotkań wywiadowczych.</w:t>
      </w:r>
    </w:p>
    <w:p w14:paraId="7F2BF20A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1933A7">
        <w:rPr>
          <w:rFonts w:ascii="Arial" w:hAnsi="Arial" w:cs="Arial"/>
        </w:rPr>
        <w:t xml:space="preserve">.Sprawdzone i ocenione pisemne prace kontrolne otrzymują do wglądu według zasad: </w:t>
      </w:r>
    </w:p>
    <w:p w14:paraId="53F171F7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uczniowie – zapoznają się z poprawionymi pracami pisemnymi w szkole po rozdaniu ich przez nauczyciela, 42 </w:t>
      </w:r>
    </w:p>
    <w:p w14:paraId="70ADEA6B" w14:textId="77777777" w:rsidR="00DE3746" w:rsidRPr="001933A7" w:rsidRDefault="00DE3746" w:rsidP="00DE3746">
      <w:pPr>
        <w:pStyle w:val="Default"/>
        <w:rPr>
          <w:rFonts w:ascii="Arial" w:hAnsi="Arial" w:cs="Arial"/>
          <w:color w:val="auto"/>
        </w:rPr>
      </w:pPr>
    </w:p>
    <w:p w14:paraId="5B06F4F8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2) rodzice uczniów – na zebraniach klasowych lub po ustaleniu terminu z nauczycielem uczącym danego przedmiotu.</w:t>
      </w:r>
    </w:p>
    <w:p w14:paraId="34F0AFBA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1092400D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4.Sprawdziany przechowywane są w szkole do końca roku szkolnego.</w:t>
      </w:r>
    </w:p>
    <w:p w14:paraId="55AFDF27" w14:textId="77777777" w:rsidR="00DE3746" w:rsidRPr="001933A7" w:rsidRDefault="00DE3746" w:rsidP="00DE37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10D05B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lastRenderedPageBreak/>
        <w:t>IV.  Warunki i tryb uzyskiwania wyższej niż przewidywana rocznej oceny klasyfikacyjnej z zajęć edukacyjnych oraz rocznej klasyfikacyjnej oceny zachowania:</w:t>
      </w:r>
    </w:p>
    <w:p w14:paraId="3B161032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1. Uczeń może uzyskać wyższą niż przewidywana ocena z zajęć edukacyjnych</w:t>
      </w:r>
      <w:r>
        <w:rPr>
          <w:rFonts w:ascii="Arial" w:hAnsi="Arial" w:cs="Arial"/>
        </w:rPr>
        <w:t>,</w:t>
      </w:r>
      <w:r w:rsidRPr="001933A7">
        <w:rPr>
          <w:rFonts w:ascii="Arial" w:hAnsi="Arial" w:cs="Arial"/>
        </w:rPr>
        <w:t xml:space="preserve"> jeżeli spełni następujące warunki: </w:t>
      </w:r>
    </w:p>
    <w:p w14:paraId="58781F89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uczeń uzyskał co najmniej 50% ocen o jaką się ubiega (lub wyższych) z zakresu, który ma największy wpływ na ustalenie oceny klasyfikacyjnej z danego przedmiotu, stosownie do zapisów w przedmiotowym systemie oceniania; </w:t>
      </w:r>
    </w:p>
    <w:p w14:paraId="135EAEA7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miał usprawiedliwione nieobecności na zajęciach; </w:t>
      </w:r>
    </w:p>
    <w:p w14:paraId="325EF504" w14:textId="77777777" w:rsidR="00DE3746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w szczególnych przypadkach losowych (śmierć rodzica, wypadki, tragedie rodzinne). </w:t>
      </w:r>
    </w:p>
    <w:p w14:paraId="7FEA64B4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 Jeżeli uczeń nie spełnia warunków, to nauczyciel:</w:t>
      </w:r>
    </w:p>
    <w:p w14:paraId="5E264DD1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pisemnie informuje rodzica, że nie ma podstaw do ustalenia oceny wyższej niż przewidywana; </w:t>
      </w:r>
    </w:p>
    <w:p w14:paraId="7E8431A6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dokumentację przechowuje do końca roku szkolnego; </w:t>
      </w:r>
    </w:p>
    <w:p w14:paraId="3071AEA2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933A7">
        <w:rPr>
          <w:rFonts w:ascii="Arial" w:hAnsi="Arial" w:cs="Arial"/>
        </w:rPr>
        <w:t xml:space="preserve">Jeżeli uczeń spełnia warunki, to nauczyciel: </w:t>
      </w:r>
    </w:p>
    <w:p w14:paraId="1445441D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przypomina uczniowi wymagania na ocenę, o która się ubiega; </w:t>
      </w:r>
    </w:p>
    <w:p w14:paraId="4052B60C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przygotowuje zestaw zadań zgodnie z wymaganiami na określoną ocenę, a w przypadku wychowania fizycznego i zajęć artystycznych przygotowuje zestaw ćwiczeń praktycznych; </w:t>
      </w:r>
    </w:p>
    <w:p w14:paraId="401EB5F6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informuje rodzica o terminie poprawy przewidywanej oceny; </w:t>
      </w:r>
    </w:p>
    <w:p w14:paraId="753782C5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4) uczeń w formie pisemnej udziela odpowiedzi na przygotowane zadania; </w:t>
      </w:r>
    </w:p>
    <w:p w14:paraId="6DA0A8B0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5) nauczyciel dokonuje poprawy pracy; </w:t>
      </w:r>
    </w:p>
    <w:p w14:paraId="47746225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6) informuje pisemnie wnioskodawcę o wyniku pracy ucznia oraz o podjętej decyzji - podwyższenie lub pozostawienie oceny; </w:t>
      </w:r>
    </w:p>
    <w:p w14:paraId="56E6092B" w14:textId="77777777" w:rsidR="00DE3746" w:rsidRPr="001933A7" w:rsidRDefault="00DE3746" w:rsidP="00DE3746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7) dokumentację przechowuje do końca roku szkolnego. </w:t>
      </w:r>
    </w:p>
    <w:p w14:paraId="32A17FC1" w14:textId="77777777"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7E3C8" w14:textId="77777777" w:rsidR="00363B59" w:rsidRDefault="00363B59" w:rsidP="00254330">
      <w:pPr>
        <w:spacing w:after="0" w:line="240" w:lineRule="auto"/>
      </w:pPr>
      <w:r>
        <w:separator/>
      </w:r>
    </w:p>
  </w:endnote>
  <w:endnote w:type="continuationSeparator" w:id="0">
    <w:p w14:paraId="5A8327CE" w14:textId="77777777" w:rsidR="00363B59" w:rsidRDefault="00363B59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933831"/>
      <w:docPartObj>
        <w:docPartGallery w:val="Page Numbers (Bottom of Page)"/>
        <w:docPartUnique/>
      </w:docPartObj>
    </w:sdtPr>
    <w:sdtContent>
      <w:p w14:paraId="5AB845B5" w14:textId="77777777" w:rsidR="003F5FEA" w:rsidRDefault="003F5FE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49E8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6A572770" w14:textId="77777777"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6226" w14:textId="77777777" w:rsidR="00363B59" w:rsidRDefault="00363B59" w:rsidP="00254330">
      <w:pPr>
        <w:spacing w:after="0" w:line="240" w:lineRule="auto"/>
      </w:pPr>
      <w:r>
        <w:separator/>
      </w:r>
    </w:p>
  </w:footnote>
  <w:footnote w:type="continuationSeparator" w:id="0">
    <w:p w14:paraId="6B626ED5" w14:textId="77777777" w:rsidR="00363B59" w:rsidRDefault="00363B59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7E4"/>
    <w:multiLevelType w:val="multilevel"/>
    <w:tmpl w:val="D5D4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A1053"/>
    <w:multiLevelType w:val="hybridMultilevel"/>
    <w:tmpl w:val="4DB441F8"/>
    <w:lvl w:ilvl="0" w:tplc="158E3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00598">
    <w:abstractNumId w:val="0"/>
  </w:num>
  <w:num w:numId="2" w16cid:durableId="1794399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816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97F20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2EDB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3B59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3C2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37C76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425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03949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1E9C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E3746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2B45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870F4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01DB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  <w:style w:type="paragraph" w:styleId="Akapitzlist">
    <w:name w:val="List Paragraph"/>
    <w:basedOn w:val="Normalny"/>
    <w:qFormat/>
    <w:rsid w:val="00DE3746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Default">
    <w:name w:val="Default"/>
    <w:rsid w:val="00DE37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512BD-59E8-4453-9E4F-77EDE1E3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10850</Words>
  <Characters>65101</Characters>
  <Application>Microsoft Office Word</Application>
  <DocSecurity>0</DocSecurity>
  <Lines>542</Lines>
  <Paragraphs>151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Beata Zagórowska</cp:lastModifiedBy>
  <cp:revision>5</cp:revision>
  <dcterms:created xsi:type="dcterms:W3CDTF">2025-08-28T12:51:00Z</dcterms:created>
  <dcterms:modified xsi:type="dcterms:W3CDTF">2026-09-03T19:00:00Z</dcterms:modified>
</cp:coreProperties>
</file>